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宋体" w:eastAsia="黑体" w:cs="黑体"/>
          <w:b/>
          <w:color w:val="000000"/>
          <w:sz w:val="28"/>
          <w:szCs w:val="28"/>
        </w:rPr>
      </w:pPr>
      <w:r>
        <w:rPr>
          <w:rFonts w:hint="eastAsia" w:ascii="黑体" w:hAnsi="宋体" w:eastAsia="黑体" w:cs="黑体"/>
          <w:b/>
          <w:color w:val="000000"/>
          <w:sz w:val="28"/>
          <w:szCs w:val="28"/>
          <w:lang w:bidi="ar"/>
        </w:rPr>
        <w:t>附件7：</w:t>
      </w:r>
    </w:p>
    <w:p>
      <w:pPr>
        <w:jc w:val="center"/>
        <w:rPr>
          <w:b/>
          <w:color w:val="000000"/>
          <w:sz w:val="28"/>
          <w:szCs w:val="28"/>
        </w:rPr>
      </w:pPr>
      <w:bookmarkStart w:id="0" w:name="OLE_LINK1"/>
      <w:r>
        <w:rPr>
          <w:rFonts w:hint="eastAsia" w:ascii="Times New Roman" w:hAnsi="Times New Roman" w:cs="宋体"/>
          <w:b/>
          <w:color w:val="000000"/>
          <w:sz w:val="36"/>
          <w:szCs w:val="36"/>
          <w:lang w:bidi="ar"/>
        </w:rPr>
        <w:t>电动摩托车及零部件产品检测收费价格表</w:t>
      </w:r>
      <w:bookmarkEnd w:id="0"/>
    </w:p>
    <w:tbl>
      <w:tblPr>
        <w:tblStyle w:val="3"/>
        <w:tblW w:w="874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814"/>
        <w:gridCol w:w="1794"/>
        <w:gridCol w:w="1531"/>
        <w:gridCol w:w="17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序号</w:t>
            </w: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检测项目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依据标准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收费金额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（元）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4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1</w:t>
            </w: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  <w:lang w:bidi="ar"/>
              </w:rPr>
              <w:t>电磁场发射强度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GB/T 18387-20</w:t>
            </w:r>
            <w:r>
              <w:rPr>
                <w:rFonts w:hint="eastAsia" w:ascii="Times New Roman" w:hAnsi="Times New Roman"/>
                <w:szCs w:val="21"/>
                <w:lang w:bidi="ar"/>
              </w:rPr>
              <w:t>17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10000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2</w:t>
            </w:r>
          </w:p>
        </w:tc>
        <w:tc>
          <w:tcPr>
            <w:tcW w:w="281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  <w:lang w:bidi="ar"/>
              </w:rPr>
              <w:t>电动摩托车续驶里程、能量消耗率和残电指示</w:t>
            </w:r>
          </w:p>
        </w:tc>
        <w:tc>
          <w:tcPr>
            <w:tcW w:w="179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GB/T</w:t>
            </w:r>
            <w:r>
              <w:rPr>
                <w:rFonts w:hint="eastAsia" w:ascii="Times New Roman" w:hAnsi="Times New Roman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/>
                <w:szCs w:val="21"/>
                <w:lang w:bidi="ar"/>
              </w:rPr>
              <w:t>24157-20</w:t>
            </w:r>
            <w:r>
              <w:rPr>
                <w:rFonts w:hint="eastAsia" w:ascii="Times New Roman" w:hAnsi="Times New Roman"/>
                <w:szCs w:val="21"/>
                <w:lang w:bidi="ar"/>
              </w:rPr>
              <w:t>17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bidi="ar"/>
              </w:rPr>
              <w:t>9500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  <w:lang w:bidi="ar"/>
              </w:rPr>
            </w:pPr>
          </w:p>
        </w:tc>
        <w:tc>
          <w:tcPr>
            <w:tcW w:w="281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cs="宋体"/>
                <w:szCs w:val="21"/>
                <w:lang w:bidi="ar"/>
              </w:rPr>
            </w:pPr>
          </w:p>
        </w:tc>
        <w:tc>
          <w:tcPr>
            <w:tcW w:w="179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  <w:lang w:bidi="ar"/>
              </w:rPr>
            </w:pP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szCs w:val="21"/>
                <w:lang w:bidi="ar"/>
              </w:rPr>
              <w:t>14250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szCs w:val="21"/>
                <w:lang w:bidi="ar"/>
              </w:rPr>
              <w:t>电池额定容量≥3千瓦时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3</w:t>
            </w: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宋体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 w:bidi="ar"/>
              </w:rPr>
              <w:t>一般要求</w:t>
            </w:r>
          </w:p>
        </w:tc>
        <w:tc>
          <w:tcPr>
            <w:tcW w:w="179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GB 24155-20</w:t>
            </w:r>
            <w:r>
              <w:rPr>
                <w:rFonts w:hint="eastAsia" w:ascii="Times New Roman" w:hAnsi="Times New Roman"/>
                <w:szCs w:val="21"/>
                <w:lang w:val="en-US" w:eastAsia="zh-CN" w:bidi="ar"/>
              </w:rPr>
              <w:t>20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 w:bidi="ar"/>
              </w:rPr>
              <w:t>50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  <w:lang w:bidi="ar"/>
              </w:rPr>
            </w:pP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宋体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 w:bidi="ar"/>
              </w:rPr>
              <w:t>电气安全要求（动力蓄电池）</w:t>
            </w:r>
          </w:p>
        </w:tc>
        <w:tc>
          <w:tcPr>
            <w:tcW w:w="179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  <w:lang w:bidi="ar"/>
              </w:rPr>
            </w:pP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szCs w:val="21"/>
                <w:lang w:val="en-US" w:eastAsia="zh-CN" w:bidi="ar"/>
              </w:rPr>
              <w:t>200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  <w:lang w:bidi="ar"/>
              </w:rPr>
            </w:pP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cs="宋体"/>
                <w:szCs w:val="21"/>
                <w:lang w:bidi="ar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 w:bidi="ar"/>
              </w:rPr>
              <w:t>电气安全要求（带电部分的触电防护）</w:t>
            </w:r>
          </w:p>
        </w:tc>
        <w:tc>
          <w:tcPr>
            <w:tcW w:w="179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  <w:lang w:bidi="ar"/>
              </w:rPr>
            </w:pP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szCs w:val="21"/>
                <w:lang w:val="en-US" w:eastAsia="zh-CN" w:bidi="ar"/>
              </w:rPr>
              <w:t>400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  <w:lang w:bidi="ar"/>
              </w:rPr>
            </w:pP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cs="宋体"/>
                <w:szCs w:val="21"/>
                <w:lang w:bidi="ar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 w:bidi="ar"/>
              </w:rPr>
              <w:t>电气安全要求（</w:t>
            </w:r>
            <w:r>
              <w:rPr>
                <w:rFonts w:hint="eastAsia" w:ascii="Times New Roman" w:hAnsi="Times New Roman" w:cs="宋体"/>
                <w:szCs w:val="21"/>
                <w:lang w:bidi="ar"/>
              </w:rPr>
              <w:t>外露可导电部</w:t>
            </w:r>
            <w:r>
              <w:rPr>
                <w:rFonts w:hint="eastAsia" w:ascii="Times New Roman" w:hAnsi="Times New Roman" w:cs="宋体"/>
                <w:szCs w:val="21"/>
                <w:lang w:val="en-US" w:eastAsia="zh-CN" w:bidi="ar"/>
              </w:rPr>
              <w:t>分的触电保护）</w:t>
            </w:r>
          </w:p>
        </w:tc>
        <w:tc>
          <w:tcPr>
            <w:tcW w:w="179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  <w:lang w:bidi="ar"/>
              </w:rPr>
            </w:pP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szCs w:val="21"/>
                <w:lang w:val="en-US" w:eastAsia="zh-CN" w:bidi="ar"/>
              </w:rPr>
              <w:t>50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  <w:lang w:bidi="ar"/>
              </w:rPr>
            </w:pP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cs="宋体"/>
                <w:szCs w:val="21"/>
                <w:lang w:bidi="ar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 w:bidi="ar"/>
              </w:rPr>
              <w:t>电气安全要求（电动摩托车与充电电源连接要求）</w:t>
            </w:r>
          </w:p>
        </w:tc>
        <w:tc>
          <w:tcPr>
            <w:tcW w:w="179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  <w:lang w:bidi="ar"/>
              </w:rPr>
            </w:pP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szCs w:val="21"/>
                <w:lang w:val="en-US" w:eastAsia="zh-CN" w:bidi="ar"/>
              </w:rPr>
              <w:t>50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  <w:lang w:bidi="ar"/>
              </w:rPr>
            </w:pP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cs="宋体"/>
                <w:szCs w:val="21"/>
                <w:lang w:bidi="ar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 w:bidi="ar"/>
              </w:rPr>
              <w:t>电气安全要求（过流保护装置）</w:t>
            </w:r>
          </w:p>
        </w:tc>
        <w:tc>
          <w:tcPr>
            <w:tcW w:w="179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  <w:lang w:bidi="ar"/>
              </w:rPr>
            </w:pP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szCs w:val="21"/>
                <w:lang w:val="en-US" w:eastAsia="zh-CN" w:bidi="ar"/>
              </w:rPr>
              <w:t>50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  <w:lang w:bidi="ar"/>
              </w:rPr>
            </w:pP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宋体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 w:bidi="ar"/>
              </w:rPr>
              <w:t>操作安全要求（起动）</w:t>
            </w:r>
          </w:p>
        </w:tc>
        <w:tc>
          <w:tcPr>
            <w:tcW w:w="179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  <w:lang w:bidi="ar"/>
              </w:rPr>
            </w:pP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szCs w:val="21"/>
                <w:lang w:val="en-US" w:eastAsia="zh-CN" w:bidi="ar"/>
              </w:rPr>
              <w:t>50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  <w:lang w:bidi="ar"/>
              </w:rPr>
            </w:pP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cs="宋体"/>
                <w:szCs w:val="21"/>
                <w:lang w:bidi="ar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 w:bidi="ar"/>
              </w:rPr>
              <w:t>操作安全要求（行驶和停车）</w:t>
            </w:r>
          </w:p>
        </w:tc>
        <w:tc>
          <w:tcPr>
            <w:tcW w:w="179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  <w:lang w:bidi="ar"/>
              </w:rPr>
            </w:pP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szCs w:val="21"/>
                <w:lang w:val="en-US" w:eastAsia="zh-CN" w:bidi="ar"/>
              </w:rPr>
              <w:t>250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  <w:lang w:bidi="ar"/>
              </w:rPr>
            </w:pP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宋体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 w:bidi="ar"/>
              </w:rPr>
              <w:t>标志和警示语要求</w:t>
            </w:r>
          </w:p>
        </w:tc>
        <w:tc>
          <w:tcPr>
            <w:tcW w:w="179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  <w:lang w:bidi="ar"/>
              </w:rPr>
            </w:pP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szCs w:val="21"/>
                <w:lang w:val="en-US" w:eastAsia="zh-CN" w:bidi="ar"/>
              </w:rPr>
              <w:t>50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  <w:lang w:bidi="ar"/>
              </w:rPr>
            </w:pP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宋体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 w:bidi="ar"/>
              </w:rPr>
              <w:t>外露可导电部件电位均衡</w:t>
            </w:r>
          </w:p>
        </w:tc>
        <w:tc>
          <w:tcPr>
            <w:tcW w:w="179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  <w:lang w:bidi="ar"/>
              </w:rPr>
            </w:pP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szCs w:val="21"/>
                <w:lang w:val="en-US" w:eastAsia="zh-CN" w:bidi="ar"/>
              </w:rPr>
              <w:t>300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  <w:lang w:bidi="ar"/>
              </w:rPr>
            </w:pP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宋体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 w:bidi="ar"/>
              </w:rPr>
              <w:t>外露可导电部件与B级电压系统之间的绝缘电阻</w:t>
            </w:r>
          </w:p>
        </w:tc>
        <w:tc>
          <w:tcPr>
            <w:tcW w:w="179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  <w:lang w:bidi="ar"/>
              </w:rPr>
            </w:pP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szCs w:val="21"/>
                <w:lang w:val="en-US" w:eastAsia="zh-CN" w:bidi="ar"/>
              </w:rPr>
              <w:t>50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  <w:lang w:bidi="ar"/>
              </w:rPr>
            </w:pP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宋体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 w:bidi="ar"/>
              </w:rPr>
              <w:t>绝缘电阻</w:t>
            </w:r>
          </w:p>
        </w:tc>
        <w:tc>
          <w:tcPr>
            <w:tcW w:w="179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  <w:lang w:bidi="ar"/>
              </w:rPr>
            </w:pP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szCs w:val="21"/>
                <w:lang w:val="en-US" w:eastAsia="zh-CN" w:bidi="ar"/>
              </w:rPr>
              <w:t>5000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  <w:lang w:bidi="ar"/>
              </w:rPr>
            </w:pP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宋体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 w:bidi="ar"/>
              </w:rPr>
              <w:t>剩余电量显示</w:t>
            </w:r>
          </w:p>
        </w:tc>
        <w:tc>
          <w:tcPr>
            <w:tcW w:w="179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  <w:lang w:bidi="ar"/>
              </w:rPr>
            </w:pP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szCs w:val="21"/>
                <w:lang w:val="en-US" w:eastAsia="zh-CN" w:bidi="ar"/>
              </w:rPr>
              <w:t>1000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  <w:lang w:bidi="ar"/>
              </w:rPr>
            </w:pP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宋体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 w:bidi="ar"/>
              </w:rPr>
              <w:t>车载充电机的输入端的耐电压及绝缘电阻</w:t>
            </w:r>
          </w:p>
        </w:tc>
        <w:tc>
          <w:tcPr>
            <w:tcW w:w="179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  <w:lang w:bidi="ar"/>
              </w:rPr>
            </w:pP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szCs w:val="21"/>
                <w:lang w:val="en-US" w:eastAsia="zh-CN" w:bidi="ar"/>
              </w:rPr>
              <w:t>1000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bidi="ar"/>
              </w:rPr>
              <w:t>4</w:t>
            </w: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  <w:lang w:bidi="ar"/>
              </w:rPr>
              <w:t>电机及控制器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QC/T 792-20</w:t>
            </w:r>
            <w:r>
              <w:rPr>
                <w:rFonts w:hint="eastAsia" w:ascii="Times New Roman" w:hAnsi="Times New Roman"/>
                <w:szCs w:val="21"/>
                <w:lang w:val="en-US" w:eastAsia="zh-CN" w:bidi="ar"/>
              </w:rPr>
              <w:t>22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 w:bidi="ar"/>
              </w:rPr>
              <w:t>40000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公告检测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  <w:lang w:bidi="ar"/>
              </w:rPr>
              <w:t>车辆识别代号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/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/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同燃油摩托车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  <w:lang w:bidi="ar"/>
              </w:rPr>
              <w:t>车辆标志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/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/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同燃油摩托车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7</w:t>
            </w: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  <w:lang w:bidi="ar"/>
              </w:rPr>
              <w:t>摩托车外廓尺寸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/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/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同燃油摩托车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8</w:t>
            </w: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  <w:lang w:bidi="ar"/>
              </w:rPr>
              <w:t>侧倾稳定角（仅三轮车使用）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/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/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同燃油摩托车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9</w:t>
            </w: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  <w:lang w:bidi="ar"/>
              </w:rPr>
              <w:t>车速受限车辆的最高车速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/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/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同燃油摩托车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10</w:t>
            </w: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  <w:lang w:bidi="ar"/>
              </w:rPr>
              <w:t>车速表指示误差值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/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/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同燃油摩托车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11</w:t>
            </w: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  <w:lang w:bidi="ar"/>
              </w:rPr>
              <w:t>转向轴轴荷比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/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/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同燃油摩托车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12</w:t>
            </w: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  <w:lang w:bidi="ar"/>
              </w:rPr>
              <w:t>三轮车辆整车整备质量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/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/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同燃油摩托车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13</w:t>
            </w: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  <w:lang w:bidi="ar"/>
              </w:rPr>
              <w:t>乘坐人数核定（两轮</w:t>
            </w:r>
            <w:r>
              <w:rPr>
                <w:rFonts w:ascii="Times New Roman" w:hAnsi="Times New Roman"/>
                <w:szCs w:val="21"/>
                <w:lang w:bidi="ar"/>
              </w:rPr>
              <w:t>/</w:t>
            </w:r>
            <w:r>
              <w:rPr>
                <w:rFonts w:hint="eastAsia" w:ascii="Times New Roman" w:hAnsi="Times New Roman" w:cs="宋体"/>
                <w:szCs w:val="21"/>
                <w:lang w:bidi="ar"/>
              </w:rPr>
              <w:t>三轮</w:t>
            </w:r>
            <w:r>
              <w:rPr>
                <w:rFonts w:ascii="Times New Roman" w:hAnsi="Times New Roman"/>
                <w:szCs w:val="21"/>
                <w:lang w:bidi="ar"/>
              </w:rPr>
              <w:t>)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/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/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同燃油摩托车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14</w:t>
            </w: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  <w:lang w:bidi="ar"/>
              </w:rPr>
              <w:t>转向装置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/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/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同燃油摩托车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15</w:t>
            </w: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  <w:lang w:bidi="ar"/>
              </w:rPr>
              <w:t>前照灯光束照射位置及发光强度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/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/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同燃油摩托车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16</w:t>
            </w: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  <w:lang w:bidi="ar"/>
              </w:rPr>
              <w:t>喇叭安装性能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/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/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同燃油摩托车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17</w:t>
            </w: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  <w:lang w:bidi="ar"/>
              </w:rPr>
              <w:t>安全防护装置（两轮</w:t>
            </w:r>
            <w:r>
              <w:rPr>
                <w:rFonts w:ascii="Times New Roman" w:hAnsi="Times New Roman"/>
                <w:szCs w:val="21"/>
                <w:lang w:bidi="ar"/>
              </w:rPr>
              <w:t>/</w:t>
            </w:r>
            <w:r>
              <w:rPr>
                <w:rFonts w:hint="eastAsia" w:ascii="Times New Roman" w:hAnsi="Times New Roman" w:cs="宋体"/>
                <w:szCs w:val="21"/>
                <w:lang w:bidi="ar"/>
              </w:rPr>
              <w:t>三轮</w:t>
            </w:r>
            <w:r>
              <w:rPr>
                <w:rFonts w:ascii="Times New Roman" w:hAnsi="Times New Roman"/>
                <w:szCs w:val="21"/>
                <w:lang w:bidi="ar"/>
              </w:rPr>
              <w:t>)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/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/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同燃油摩托车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18</w:t>
            </w: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  <w:lang w:bidi="ar"/>
              </w:rPr>
              <w:t>操纵件、指示器及信号装置的图形符号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/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/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同燃油摩托车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19</w:t>
            </w: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  <w:lang w:bidi="ar"/>
              </w:rPr>
              <w:t>驻车性能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/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/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同燃油摩托车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20</w:t>
            </w: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  <w:lang w:bidi="ar"/>
              </w:rPr>
              <w:t>后视镜/间接视野装置安装要求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/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/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同燃油摩托车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21</w:t>
            </w: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  <w:lang w:bidi="ar"/>
              </w:rPr>
              <w:t>转向锁止防盗装置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/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/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同燃油摩托车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bidi="ar"/>
              </w:rPr>
              <w:t>22</w:t>
            </w: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  <w:lang w:bidi="ar"/>
              </w:rPr>
              <w:t>照明和光信号装置的安装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/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/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同燃油摩托车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  <w:lang w:bidi="ar"/>
              </w:rPr>
              <w:t>外部凸出物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/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/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同燃油摩托车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  <w:lang w:bidi="ar"/>
              </w:rPr>
              <w:t>乘员扶手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/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/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同燃油摩托车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cs="宋体"/>
                <w:szCs w:val="21"/>
                <w:lang w:bidi="ar"/>
              </w:rPr>
            </w:pPr>
            <w:r>
              <w:rPr>
                <w:rFonts w:hint="eastAsia" w:ascii="Times New Roman" w:hAnsi="Times New Roman" w:cs="宋体"/>
                <w:szCs w:val="21"/>
                <w:lang w:bidi="ar"/>
              </w:rPr>
              <w:t>电磁兼容性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/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/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同燃油摩托车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color w:val="0000FF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  <w:lang w:bidi="ar"/>
              </w:rPr>
              <w:t>制动性能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  <w:color w:val="0000FF"/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/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  <w:color w:val="0000FF"/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/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  <w:color w:val="0000FF"/>
                <w:szCs w:val="21"/>
              </w:rPr>
            </w:pPr>
            <w:r>
              <w:rPr>
                <w:rFonts w:hint="eastAsia"/>
                <w:szCs w:val="21"/>
              </w:rPr>
              <w:t>同燃油摩托车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27</w:t>
            </w: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  <w:lang w:bidi="ar"/>
              </w:rPr>
              <w:t>前照灯、前转向信号灯、后转向灯、前位灯、后位灯、制动灯、后牌照灯、前雾灯、后雾灯、倒车灯配光性能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/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/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同燃油摩托车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28</w:t>
            </w: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  <w:lang w:bidi="ar"/>
              </w:rPr>
              <w:t>回复反射器性能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/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/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同燃油摩托车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29</w:t>
            </w: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  <w:lang w:bidi="ar"/>
              </w:rPr>
              <w:t>后视镜/间接视野装置性能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/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/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同燃油摩托车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30</w:t>
            </w: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  <w:lang w:bidi="ar"/>
              </w:rPr>
              <w:t>喇叭性能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/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/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Chars="-21" w:hanging="44" w:hangingChars="2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同燃油摩托车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31</w:t>
            </w: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  <w:lang w:bidi="ar"/>
              </w:rPr>
              <w:t>制动软管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/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/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Chars="-21" w:hanging="44" w:hangingChars="2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同燃油摩托车</w:t>
            </w:r>
          </w:p>
        </w:tc>
      </w:tr>
    </w:tbl>
    <w:p>
      <w:pPr>
        <w:spacing w:line="360" w:lineRule="auto"/>
        <w:rPr>
          <w:sz w:val="24"/>
          <w:szCs w:val="2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891"/>
    <w:rsid w:val="00C64891"/>
    <w:rsid w:val="00FD7F0C"/>
    <w:rsid w:val="063D40EF"/>
    <w:rsid w:val="0A2672DF"/>
    <w:rsid w:val="18C32B67"/>
    <w:rsid w:val="28D84E6C"/>
    <w:rsid w:val="33063FEC"/>
    <w:rsid w:val="350F14D3"/>
    <w:rsid w:val="3C0F2A38"/>
    <w:rsid w:val="3C9B1F9A"/>
    <w:rsid w:val="3CF82059"/>
    <w:rsid w:val="4741041E"/>
    <w:rsid w:val="47E42544"/>
    <w:rsid w:val="4AC82C32"/>
    <w:rsid w:val="4C7152EE"/>
    <w:rsid w:val="50B11D34"/>
    <w:rsid w:val="50F63A17"/>
    <w:rsid w:val="54D254F2"/>
    <w:rsid w:val="5AB95762"/>
    <w:rsid w:val="66E26495"/>
    <w:rsid w:val="67883C0F"/>
    <w:rsid w:val="6BC61B1D"/>
    <w:rsid w:val="6C347261"/>
    <w:rsid w:val="7D8B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153</Words>
  <Characters>873</Characters>
  <Lines>7</Lines>
  <Paragraphs>2</Paragraphs>
  <TotalTime>26</TotalTime>
  <ScaleCrop>false</ScaleCrop>
  <LinksUpToDate>false</LinksUpToDate>
  <CharactersWithSpaces>1024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2020-06-05T05:49:00Z</dcterms:created>
  <dc:creator>张茹</dc:creator>
  <cp:lastModifiedBy>王仲太</cp:lastModifiedBy>
  <cp:lastPrinted>2025-08-13T01:32:00Z</cp:lastPrinted>
  <dcterms:modified xsi:type="dcterms:W3CDTF">2025-08-13T06:56:19Z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